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1C829" w14:textId="29EC46AE"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D64870">
        <w:rPr>
          <w:rFonts w:ascii="Arial" w:eastAsia="MS Mincho" w:hAnsi="Arial"/>
          <w:b/>
          <w:sz w:val="24"/>
          <w:szCs w:val="24"/>
          <w:lang w:eastAsia="x-none"/>
        </w:rPr>
        <w:t xml:space="preserve">111e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751BD7">
        <w:rPr>
          <w:rFonts w:ascii="Arial" w:eastAsia="MS Mincho" w:hAnsi="Arial"/>
          <w:b/>
          <w:sz w:val="24"/>
          <w:szCs w:val="24"/>
          <w:lang w:eastAsia="x-none"/>
        </w:rPr>
        <w:t>R2-</w:t>
      </w:r>
      <w:r w:rsidR="00CC3C25">
        <w:rPr>
          <w:rFonts w:ascii="Arial" w:eastAsia="MS Mincho" w:hAnsi="Arial"/>
          <w:b/>
          <w:sz w:val="24"/>
          <w:szCs w:val="24"/>
          <w:lang w:eastAsia="x-none"/>
        </w:rPr>
        <w:t>206946</w:t>
      </w:r>
    </w:p>
    <w:p w14:paraId="2E989C2C" w14:textId="1E08BAAB" w:rsidR="005E43A7" w:rsidRDefault="00B42FE8" w:rsidP="005E43A7">
      <w:pPr>
        <w:pStyle w:val="3GPPHeader"/>
        <w:jc w:val="right"/>
        <w:rPr>
          <w:rFonts w:eastAsia="MS Mincho"/>
          <w:szCs w:val="24"/>
          <w:lang w:eastAsia="x-none"/>
        </w:rPr>
      </w:pPr>
      <w:r>
        <w:rPr>
          <w:rFonts w:eastAsia="MS Mincho"/>
          <w:szCs w:val="24"/>
          <w:lang w:eastAsia="x-none"/>
        </w:rPr>
        <w:t>Electronic</w:t>
      </w:r>
      <w:r w:rsidR="001105F6">
        <w:rPr>
          <w:rFonts w:eastAsia="MS Mincho"/>
          <w:szCs w:val="24"/>
          <w:lang w:eastAsia="x-none"/>
        </w:rPr>
        <w:t xml:space="preserve"> meeting</w:t>
      </w:r>
      <w:r>
        <w:rPr>
          <w:rFonts w:eastAsia="MS Mincho"/>
          <w:szCs w:val="24"/>
          <w:lang w:eastAsia="x-none"/>
        </w:rPr>
        <w:t>, Aug 17-28, 2020</w:t>
      </w:r>
      <w:r w:rsidR="00C06EF0">
        <w:rPr>
          <w:rFonts w:eastAsia="MS Mincho"/>
          <w:szCs w:val="24"/>
          <w:lang w:eastAsia="x-none"/>
        </w:rPr>
        <w:t xml:space="preserve">     </w:t>
      </w:r>
      <w:r w:rsidR="005E43A7" w:rsidRPr="00751BD7">
        <w:rPr>
          <w:rFonts w:eastAsia="MS Mincho"/>
          <w:szCs w:val="24"/>
          <w:lang w:eastAsia="x-none"/>
        </w:rPr>
        <w:tab/>
      </w:r>
    </w:p>
    <w:p w14:paraId="2FABFE34" w14:textId="0F632095"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9E5547">
        <w:rPr>
          <w:sz w:val="22"/>
          <w:szCs w:val="22"/>
          <w:lang w:val="sv-SE"/>
        </w:rPr>
        <w:t>8.4.1</w:t>
      </w:r>
    </w:p>
    <w:p w14:paraId="7443EFE6"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6D5730AE" w14:textId="3B639B10" w:rsidR="005E43A7" w:rsidRPr="00CE0424" w:rsidRDefault="005E43A7" w:rsidP="005E43A7">
      <w:pPr>
        <w:pStyle w:val="3GPPHeader"/>
        <w:jc w:val="left"/>
        <w:rPr>
          <w:sz w:val="22"/>
          <w:szCs w:val="22"/>
        </w:rPr>
      </w:pPr>
      <w:r>
        <w:rPr>
          <w:sz w:val="22"/>
          <w:szCs w:val="22"/>
        </w:rPr>
        <w:t>Title:</w:t>
      </w:r>
      <w:r>
        <w:rPr>
          <w:sz w:val="22"/>
          <w:szCs w:val="22"/>
        </w:rPr>
        <w:tab/>
      </w:r>
      <w:r w:rsidR="00C32143">
        <w:rPr>
          <w:sz w:val="22"/>
          <w:szCs w:val="22"/>
        </w:rPr>
        <w:t>Congestion Handling and Traffic Splitting in IAB</w:t>
      </w:r>
    </w:p>
    <w:p w14:paraId="44F3733B"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4A986730" w14:textId="77777777" w:rsidR="005A2C79" w:rsidRDefault="005E43A7" w:rsidP="005E43A7">
      <w:pPr>
        <w:pStyle w:val="Heading1"/>
      </w:pPr>
      <w:r>
        <w:t>Introduction</w:t>
      </w:r>
    </w:p>
    <w:p w14:paraId="1F25287C" w14:textId="76315095" w:rsidR="00C32143" w:rsidRDefault="00C32143" w:rsidP="005E43A7">
      <w:r>
        <w:t>Enhancement of congestion mitigation procedures is one of the goals in Release 17 IAB. Release 16 standardized flow control procedures to enable mitigation of congestion in downstream traffic. However, flow control for upstream traffic was not defined. This contribution analyses the need for flow control for upstream traffic.</w:t>
      </w:r>
    </w:p>
    <w:p w14:paraId="53BB8496" w14:textId="5821F4E9" w:rsidR="00CF25DB" w:rsidRDefault="00C32143" w:rsidP="005E43A7">
      <w:r>
        <w:t>Release 16 also has limitations in data transport through an IAB network since a bearer can be carried only on one path through the IAB network.</w:t>
      </w:r>
      <w:r w:rsidR="000E7415">
        <w:t xml:space="preserve"> One of the goals in Release 17 is to improve utilization of path redundancy.</w:t>
      </w:r>
      <w:r>
        <w:t xml:space="preserve"> This contribution also discusses the need to be able to split traffic of a bearer such that it can be carried via two or more paths.</w:t>
      </w:r>
    </w:p>
    <w:p w14:paraId="5BDA5AC3" w14:textId="4B9DE4B5" w:rsidR="005E43A7" w:rsidRDefault="005E43A7" w:rsidP="005E43A7">
      <w:pPr>
        <w:pStyle w:val="Heading1"/>
      </w:pPr>
      <w:r>
        <w:t>Discussion</w:t>
      </w:r>
    </w:p>
    <w:p w14:paraId="035BC727" w14:textId="655B0D71" w:rsidR="00B66EF7" w:rsidRDefault="00B66EF7" w:rsidP="00B66EF7">
      <w:pPr>
        <w:pStyle w:val="Heading2"/>
      </w:pPr>
      <w:r>
        <w:t>Congestion control enhancements</w:t>
      </w:r>
    </w:p>
    <w:p w14:paraId="46AA4936" w14:textId="5CB9945A" w:rsidR="00B42FE8" w:rsidRDefault="00B42FE8" w:rsidP="00B66EF7">
      <w:r>
        <w:t xml:space="preserve">Flow control for downstream traffic </w:t>
      </w:r>
      <w:r w:rsidR="009E5547">
        <w:t xml:space="preserve">currently </w:t>
      </w:r>
      <w:r>
        <w:t>consists of two separate procedures:</w:t>
      </w:r>
    </w:p>
    <w:p w14:paraId="10A2F21F" w14:textId="4672467A" w:rsidR="00B42FE8" w:rsidRDefault="00B42FE8" w:rsidP="00B42FE8">
      <w:pPr>
        <w:pStyle w:val="ListParagraph"/>
        <w:numPr>
          <w:ilvl w:val="0"/>
          <w:numId w:val="9"/>
        </w:numPr>
      </w:pPr>
      <w:r>
        <w:t>Flow control between the donor CU and the access IAB node DU using the “Downlink data delivery status” message</w:t>
      </w:r>
      <w:r w:rsidR="009E5547">
        <w:t xml:space="preserve"> </w:t>
      </w:r>
      <w:r w:rsidR="009E5547">
        <w:fldChar w:fldCharType="begin"/>
      </w:r>
      <w:r w:rsidR="009E5547">
        <w:instrText xml:space="preserve"> REF _Ref47296996 \r \h </w:instrText>
      </w:r>
      <w:r w:rsidR="009E5547">
        <w:fldChar w:fldCharType="separate"/>
      </w:r>
      <w:r w:rsidR="009E5547">
        <w:t>[1]</w:t>
      </w:r>
      <w:r w:rsidR="009E5547">
        <w:fldChar w:fldCharType="end"/>
      </w:r>
      <w:r>
        <w:t>.</w:t>
      </w:r>
    </w:p>
    <w:p w14:paraId="1A295320" w14:textId="290682E6" w:rsidR="00B42FE8" w:rsidRDefault="00B42FE8" w:rsidP="00B42FE8">
      <w:pPr>
        <w:pStyle w:val="ListParagraph"/>
        <w:numPr>
          <w:ilvl w:val="0"/>
          <w:numId w:val="9"/>
        </w:numPr>
      </w:pPr>
      <w:r>
        <w:t xml:space="preserve">Flow control between the congested node and its parent node using the flow control BAP PDU. The flow control BAP PDU can provide buffer information per BH RLC channel or per routing ID. </w:t>
      </w:r>
    </w:p>
    <w:p w14:paraId="79D87D74" w14:textId="445F2B6E" w:rsidR="009E5547" w:rsidRDefault="009E5547" w:rsidP="009E5547">
      <w:r>
        <w:t xml:space="preserve">Upstream traffic has the same congestion issues as downstream traffic. In fact, for upstream traffic, the congestion is likely to occur closer to the donor due the aggregation of data from large numbers of UEs. Given that the congestion occurrence for upstream traffic is farther from the location of injection of data (the UE &amp; access IAB node), the congestion issue could be more serious. However, for upstream traffic, no flow control procedures were specified in Release 16. </w:t>
      </w:r>
    </w:p>
    <w:p w14:paraId="2A3CFED5" w14:textId="771E099F" w:rsidR="009E5547" w:rsidRDefault="009E5547" w:rsidP="009E5547">
      <w:r>
        <w:t>We provide below simulation results comparing the flow control mechanisms that can be considered.</w:t>
      </w:r>
      <w:r w:rsidR="0039395C">
        <w:t xml:space="preserve"> The commonly held view during IAB discussions in Release 16 was that the “backpressure” mechanism is adequate for uplink flow control. The backpressure mechanism consists of the congested node reducing/stopping uplink resource allocation to its child nodes. With this mechanism, information about the congestion is not carried to the source node; it is essentially a one-hop flow control mechanism. We compare the backpressure method to hop-by-hop flow control, where flow control feedback information is generated by the congested node and transmitted to its child nodes, which in turn relay the feedback information. </w:t>
      </w:r>
    </w:p>
    <w:p w14:paraId="009670D0" w14:textId="1D817B34" w:rsidR="009E5547" w:rsidRDefault="009E5547" w:rsidP="009E5547">
      <w:r>
        <w:lastRenderedPageBreak/>
        <w:t xml:space="preserve">We consider a route between a source node and a destination node as shown and analyse the impact of congestion on the route. The route is selected from a larger network of IAB nodes and UEs in which the IAB nodes and UEs are dropped randomly. In the context of uplink flow control the source node is the UE and the destination node </w:t>
      </w:r>
      <w:proofErr w:type="gramStart"/>
      <w:r>
        <w:t>is</w:t>
      </w:r>
      <w:proofErr w:type="gramEnd"/>
      <w:r>
        <w:t xml:space="preserve"> the IAB donor.</w:t>
      </w:r>
    </w:p>
    <w:p w14:paraId="26728141" w14:textId="77777777" w:rsidR="009E5547" w:rsidRDefault="009E5547" w:rsidP="009E5547">
      <w:pPr>
        <w:keepNext/>
        <w:jc w:val="center"/>
      </w:pPr>
      <w:r>
        <w:object w:dxaOrig="15504" w:dyaOrig="1344" w14:anchorId="3EAFF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40.8pt" o:ole="">
            <v:imagedata r:id="rId8" o:title=""/>
          </v:shape>
          <o:OLEObject Type="Embed" ProgID="Visio.Drawing.15" ShapeID="_x0000_i1025" DrawAspect="Content" ObjectID="_1658256059" r:id="rId9"/>
        </w:object>
      </w:r>
    </w:p>
    <w:p w14:paraId="11D55C1B" w14:textId="5DC1F814" w:rsidR="009E5547" w:rsidRDefault="009E5547" w:rsidP="009E5547">
      <w:pPr>
        <w:pStyle w:val="Caption"/>
        <w:jc w:val="center"/>
      </w:pPr>
      <w:r>
        <w:t xml:space="preserve">Figure </w:t>
      </w:r>
      <w:r>
        <w:fldChar w:fldCharType="begin"/>
      </w:r>
      <w:r>
        <w:instrText xml:space="preserve"> SEQ Figure \* ARABIC </w:instrText>
      </w:r>
      <w:r>
        <w:fldChar w:fldCharType="separate"/>
      </w:r>
      <w:r w:rsidR="001746FE">
        <w:rPr>
          <w:noProof/>
        </w:rPr>
        <w:t>1</w:t>
      </w:r>
      <w:r>
        <w:fldChar w:fldCharType="end"/>
      </w:r>
    </w:p>
    <w:p w14:paraId="413B2D58" w14:textId="2A318D49" w:rsidR="009E5547" w:rsidRDefault="009E5547" w:rsidP="009E5547">
      <w:r>
        <w:t xml:space="preserve">Given that the goal is to model congestion and flow control, the physical layer is not explicitly modelled. Instead the SINRs on the links (which </w:t>
      </w:r>
      <w:r w:rsidR="006C7C1B">
        <w:t xml:space="preserve">are </w:t>
      </w:r>
      <w:r>
        <w:t xml:space="preserve">assumed to not vary) are translated to data rates. </w:t>
      </w:r>
    </w:p>
    <w:p w14:paraId="16476DA3" w14:textId="77777777" w:rsidR="009E5547" w:rsidRDefault="009E5547" w:rsidP="009E5547">
      <w:r>
        <w:t xml:space="preserve">Packets arrive at the source, each packet of size 20 </w:t>
      </w:r>
      <w:proofErr w:type="spellStart"/>
      <w:r>
        <w:t>kbits</w:t>
      </w:r>
      <w:proofErr w:type="spellEnd"/>
      <w:r>
        <w:t xml:space="preserve">. The packets are segmented into 5 subpackets for transmission (each subpacket of 4 </w:t>
      </w:r>
      <w:proofErr w:type="spellStart"/>
      <w:r>
        <w:t>kbits</w:t>
      </w:r>
      <w:proofErr w:type="spellEnd"/>
      <w:r>
        <w:t xml:space="preserve">). Packets arrive at the source node according to a </w:t>
      </w:r>
      <w:proofErr w:type="spellStart"/>
      <w:r>
        <w:t>poisson</w:t>
      </w:r>
      <w:proofErr w:type="spellEnd"/>
      <w:r>
        <w:t xml:space="preserve"> process with arrival rate of 800 packets/sec.</w:t>
      </w:r>
    </w:p>
    <w:p w14:paraId="4D45CE25" w14:textId="53085264" w:rsidR="009E5547" w:rsidRDefault="009E5547" w:rsidP="009E5547">
      <w:r>
        <w:t xml:space="preserve">Congestion is simulated at node 3, resulting from a drop in </w:t>
      </w:r>
      <w:r w:rsidR="0039395C">
        <w:t xml:space="preserve">the </w:t>
      </w:r>
      <w:r>
        <w:t>link quality on the node3-destination node link</w:t>
      </w:r>
      <w:r w:rsidRPr="00C06EF0">
        <w:t>. The data rates when congestion occurs along the route are 16 Mbps, 12 Mbps, 8 Mbps and 4 Mbps for the 4 successive links</w:t>
      </w:r>
      <w:r>
        <w:t xml:space="preserve"> from left to right in </w:t>
      </w:r>
      <w:r>
        <w:rPr>
          <w:highlight w:val="yellow"/>
        </w:rPr>
        <w:fldChar w:fldCharType="begin"/>
      </w:r>
      <w:r>
        <w:instrText xml:space="preserve"> REF _Ref17228183 \h </w:instrText>
      </w:r>
      <w:r>
        <w:rPr>
          <w:highlight w:val="yellow"/>
        </w:rPr>
      </w:r>
      <w:r>
        <w:rPr>
          <w:highlight w:val="yellow"/>
        </w:rPr>
        <w:fldChar w:fldCharType="separate"/>
      </w:r>
      <w:r>
        <w:t xml:space="preserve">Figure </w:t>
      </w:r>
      <w:r>
        <w:rPr>
          <w:noProof/>
        </w:rPr>
        <w:t>1</w:t>
      </w:r>
      <w:r>
        <w:rPr>
          <w:highlight w:val="yellow"/>
        </w:rPr>
        <w:fldChar w:fldCharType="end"/>
      </w:r>
      <w:r>
        <w:t xml:space="preserve">. Each IAB node is assumed to have a buffer of </w:t>
      </w:r>
      <w:r w:rsidRPr="00C06EF0">
        <w:t xml:space="preserve">160 </w:t>
      </w:r>
      <w:proofErr w:type="spellStart"/>
      <w:r w:rsidRPr="00C06EF0">
        <w:t>kbits</w:t>
      </w:r>
      <w:proofErr w:type="spellEnd"/>
      <w:r>
        <w:t xml:space="preserve"> for the flow being considered and the donor has an infinite buffer. A node initiates flow control related actions when the buffer </w:t>
      </w:r>
      <w:r w:rsidRPr="00C06EF0">
        <w:t>is 80% full</w:t>
      </w:r>
      <w:r>
        <w:t xml:space="preserve">. </w:t>
      </w:r>
    </w:p>
    <w:p w14:paraId="0A0249AC" w14:textId="6B211231" w:rsidR="009E5547" w:rsidRDefault="009E5547" w:rsidP="009E5547">
      <w:r>
        <w:t xml:space="preserve">Flow control actions consist of the node transmitting a flow control indication to the </w:t>
      </w:r>
      <w:r w:rsidR="0043138E">
        <w:t>source</w:t>
      </w:r>
      <w:r>
        <w:t xml:space="preserve"> node and/or the immediate </w:t>
      </w:r>
      <w:r w:rsidR="0043138E">
        <w:t>prior</w:t>
      </w:r>
      <w:r w:rsidR="0043138E">
        <w:t xml:space="preserve"> </w:t>
      </w:r>
      <w:r>
        <w:t>node</w:t>
      </w:r>
      <w:r w:rsidR="0043138E">
        <w:t xml:space="preserve"> in the chain</w:t>
      </w:r>
      <w:r>
        <w:t xml:space="preserve">. When an IAB node or the </w:t>
      </w:r>
      <w:r w:rsidR="0043138E">
        <w:t>source node</w:t>
      </w:r>
      <w:r w:rsidR="0043138E">
        <w:t xml:space="preserve"> </w:t>
      </w:r>
      <w:r>
        <w:t xml:space="preserve">receive the flow control indication, it stops transmitting data corresponding to the flow for a </w:t>
      </w:r>
      <w:r>
        <w:rPr>
          <w:i/>
        </w:rPr>
        <w:t xml:space="preserve">wait time </w:t>
      </w:r>
      <w:r>
        <w:t>(to allow the overloaded buffer to drain)</w:t>
      </w:r>
      <w:r>
        <w:rPr>
          <w:i/>
        </w:rPr>
        <w:t xml:space="preserve">. </w:t>
      </w:r>
      <w:r>
        <w:t xml:space="preserve">After the expiration of the wait time, the node resumes transmission of data. The flow control indication is subject to a 3 TTI delay at each node for both end-to-end and hop-by-hop flow control indications. That is, if a flow control indication is received in TTI n, it is transmitted to the next node in TTI n+3. For purposes of computation of data rates, goodput etc., a TTI is assumed to be 1 </w:t>
      </w:r>
      <w:proofErr w:type="spellStart"/>
      <w:r>
        <w:t>ms</w:t>
      </w:r>
      <w:proofErr w:type="spellEnd"/>
      <w:r>
        <w:t>.</w:t>
      </w:r>
    </w:p>
    <w:p w14:paraId="14D0F200" w14:textId="0B6D21B8" w:rsidR="009E5547" w:rsidRDefault="0039395C" w:rsidP="009E5547">
      <w:r>
        <w:t>Note that “End-to-end flow control” between the congested node and the IAB donor is only applicable to downstream traffic. As mentioned above, we</w:t>
      </w:r>
      <w:r w:rsidR="009E5547">
        <w:t xml:space="preserve"> compare the following types of flow control:</w:t>
      </w:r>
    </w:p>
    <w:p w14:paraId="77A23353" w14:textId="2F249BDB" w:rsidR="009E5547" w:rsidRDefault="0039395C" w:rsidP="009E5547">
      <w:pPr>
        <w:pStyle w:val="ListParagraph"/>
        <w:numPr>
          <w:ilvl w:val="0"/>
          <w:numId w:val="6"/>
        </w:numPr>
      </w:pPr>
      <w:r>
        <w:t>Backpressure (one-hop flow control)</w:t>
      </w:r>
    </w:p>
    <w:p w14:paraId="72304FE0" w14:textId="77777777" w:rsidR="009E5547" w:rsidRDefault="009E5547" w:rsidP="009E5547">
      <w:pPr>
        <w:pStyle w:val="ListParagraph"/>
        <w:numPr>
          <w:ilvl w:val="0"/>
          <w:numId w:val="6"/>
        </w:numPr>
      </w:pPr>
      <w:r>
        <w:t>Hop-by-hop flow control</w:t>
      </w:r>
    </w:p>
    <w:p w14:paraId="26BDE022" w14:textId="77777777" w:rsidR="009E5547" w:rsidRDefault="009E5547" w:rsidP="00EC34EB">
      <w:pPr>
        <w:pStyle w:val="Heading3"/>
      </w:pPr>
      <w:r>
        <w:t>Discussion of Results</w:t>
      </w:r>
    </w:p>
    <w:p w14:paraId="744ED666" w14:textId="07747D1D" w:rsidR="00C17691" w:rsidRDefault="009E5547" w:rsidP="009E5547">
      <w:r>
        <w:t xml:space="preserve">The goodput and dropped packet ratio are shown for different values of wait times. The goodput is computed as the data rate corresponding to the successfully received packets. As </w:t>
      </w:r>
      <w:r>
        <w:fldChar w:fldCharType="begin"/>
      </w:r>
      <w:r>
        <w:instrText xml:space="preserve"> REF _Ref17226240 \h </w:instrText>
      </w:r>
      <w:r>
        <w:fldChar w:fldCharType="separate"/>
      </w:r>
      <w:r>
        <w:t xml:space="preserve">Figure </w:t>
      </w:r>
      <w:r>
        <w:rPr>
          <w:noProof/>
        </w:rPr>
        <w:t>2</w:t>
      </w:r>
      <w:r>
        <w:fldChar w:fldCharType="end"/>
      </w:r>
      <w:r>
        <w:t xml:space="preserve"> shows, </w:t>
      </w:r>
      <w:r w:rsidR="00C17691">
        <w:t xml:space="preserve">the performance of hop-by-hop flow control is significantly better than that of the backpressure method. Additionally, </w:t>
      </w:r>
      <w:r w:rsidR="00C17691">
        <w:fldChar w:fldCharType="begin"/>
      </w:r>
      <w:r w:rsidR="00C17691">
        <w:instrText xml:space="preserve"> REF _Ref17228325 \h </w:instrText>
      </w:r>
      <w:r w:rsidR="00C17691">
        <w:fldChar w:fldCharType="separate"/>
      </w:r>
      <w:r w:rsidR="00C17691">
        <w:t xml:space="preserve">Figure </w:t>
      </w:r>
      <w:r w:rsidR="00C17691">
        <w:rPr>
          <w:noProof/>
        </w:rPr>
        <w:t>3</w:t>
      </w:r>
      <w:r w:rsidR="00C17691">
        <w:fldChar w:fldCharType="end"/>
      </w:r>
      <w:r w:rsidR="00C17691" w:rsidRPr="00C17691">
        <w:t xml:space="preserve"> </w:t>
      </w:r>
      <w:r w:rsidR="00C17691">
        <w:t>shows the ratio of dropped sub-packets to the total sub-packets transmitted by the source. The dropped sub-packet ratio correlates directly to the goodput (i.e., schemes with lower dropped sub-packet ratios show higher goodput). As shown, the backpressure method can result in a substantial amount of data being dropped due to buffer overflow.</w:t>
      </w:r>
    </w:p>
    <w:p w14:paraId="5D4C496C" w14:textId="74B6672E" w:rsidR="009E5547" w:rsidRPr="00AF307D" w:rsidRDefault="009E5547" w:rsidP="009E5547"/>
    <w:p w14:paraId="52A9A29A" w14:textId="52F9E18D" w:rsidR="009E5547" w:rsidRDefault="0039395C" w:rsidP="009E5547">
      <w:pPr>
        <w:keepNext/>
        <w:jc w:val="center"/>
      </w:pPr>
      <w:r>
        <w:rPr>
          <w:noProof/>
        </w:rPr>
        <w:lastRenderedPageBreak/>
        <w:drawing>
          <wp:inline distT="0" distB="0" distL="0" distR="0" wp14:anchorId="2B736DBE" wp14:editId="4581D66F">
            <wp:extent cx="3922776" cy="2660904"/>
            <wp:effectExtent l="0" t="0" r="1905" b="6350"/>
            <wp:docPr id="6738195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0">
                      <a:extLst>
                        <a:ext uri="{28A0092B-C50C-407E-A947-70E740481C1C}">
                          <a14:useLocalDpi xmlns:a14="http://schemas.microsoft.com/office/drawing/2010/main" val="0"/>
                        </a:ext>
                      </a:extLst>
                    </a:blip>
                    <a:stretch>
                      <a:fillRect/>
                    </a:stretch>
                  </pic:blipFill>
                  <pic:spPr>
                    <a:xfrm>
                      <a:off x="0" y="0"/>
                      <a:ext cx="3922776" cy="2660904"/>
                    </a:xfrm>
                    <a:prstGeom prst="rect">
                      <a:avLst/>
                    </a:prstGeom>
                  </pic:spPr>
                </pic:pic>
              </a:graphicData>
            </a:graphic>
          </wp:inline>
        </w:drawing>
      </w:r>
    </w:p>
    <w:p w14:paraId="50CFDD23" w14:textId="373EC37D" w:rsidR="009E5547" w:rsidRDefault="009E5547" w:rsidP="009E5547">
      <w:pPr>
        <w:pStyle w:val="Caption"/>
        <w:jc w:val="center"/>
      </w:pPr>
      <w:r>
        <w:t xml:space="preserve">Figure </w:t>
      </w:r>
      <w:r>
        <w:fldChar w:fldCharType="begin"/>
      </w:r>
      <w:r>
        <w:instrText xml:space="preserve"> SEQ Figure \* ARABIC </w:instrText>
      </w:r>
      <w:r>
        <w:fldChar w:fldCharType="separate"/>
      </w:r>
      <w:r w:rsidR="001746FE">
        <w:rPr>
          <w:noProof/>
        </w:rPr>
        <w:t>2</w:t>
      </w:r>
      <w:r>
        <w:fldChar w:fldCharType="end"/>
      </w:r>
    </w:p>
    <w:p w14:paraId="6FD2B187" w14:textId="4F44C8E7" w:rsidR="009E5547" w:rsidRDefault="0039395C" w:rsidP="009E5547">
      <w:pPr>
        <w:keepNext/>
        <w:jc w:val="center"/>
      </w:pPr>
      <w:r>
        <w:rPr>
          <w:noProof/>
        </w:rPr>
        <w:drawing>
          <wp:inline distT="0" distB="0" distL="0" distR="0" wp14:anchorId="24672B4F" wp14:editId="07A1FAE7">
            <wp:extent cx="4005072" cy="2697480"/>
            <wp:effectExtent l="0" t="0" r="0" b="7620"/>
            <wp:docPr id="582780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4005072" cy="2697480"/>
                    </a:xfrm>
                    <a:prstGeom prst="rect">
                      <a:avLst/>
                    </a:prstGeom>
                  </pic:spPr>
                </pic:pic>
              </a:graphicData>
            </a:graphic>
          </wp:inline>
        </w:drawing>
      </w:r>
    </w:p>
    <w:p w14:paraId="00F17452" w14:textId="4CEF19A0" w:rsidR="009E5547" w:rsidRDefault="009E5547" w:rsidP="009E5547">
      <w:pPr>
        <w:pStyle w:val="Caption"/>
        <w:jc w:val="center"/>
      </w:pPr>
      <w:r>
        <w:t xml:space="preserve">Figure </w:t>
      </w:r>
      <w:r>
        <w:fldChar w:fldCharType="begin"/>
      </w:r>
      <w:r>
        <w:instrText xml:space="preserve"> SEQ Figure \* ARABIC </w:instrText>
      </w:r>
      <w:r>
        <w:fldChar w:fldCharType="separate"/>
      </w:r>
      <w:r w:rsidR="001746FE">
        <w:rPr>
          <w:noProof/>
        </w:rPr>
        <w:t>3</w:t>
      </w:r>
      <w:r>
        <w:fldChar w:fldCharType="end"/>
      </w:r>
    </w:p>
    <w:p w14:paraId="51F11826" w14:textId="28BEDB2C" w:rsidR="009E5547" w:rsidRDefault="00C17691" w:rsidP="009E5547">
      <w:r>
        <w:t>Based on the above, it is beneficial to introduce hop-by-hop flow control for upstream traffic. This can mirror the BAP layer flow control feedback that has been introduced for downstream traffic.</w:t>
      </w:r>
    </w:p>
    <w:p w14:paraId="3CEAE94C" w14:textId="05D0498D" w:rsidR="00C17691" w:rsidRPr="006C7C1B" w:rsidRDefault="00C17691" w:rsidP="009E5547">
      <w:pPr>
        <w:rPr>
          <w:b/>
          <w:bCs/>
          <w:i/>
          <w:iCs/>
        </w:rPr>
      </w:pPr>
      <w:r w:rsidRPr="006C7C1B">
        <w:rPr>
          <w:b/>
          <w:bCs/>
          <w:i/>
          <w:iCs/>
        </w:rPr>
        <w:t>Proposal 1: Hop-by-hop flow control feedback for upstream traffic is introduced.</w:t>
      </w:r>
    </w:p>
    <w:p w14:paraId="1C0E17ED" w14:textId="41C5328A" w:rsidR="00C17691" w:rsidRPr="006C7C1B" w:rsidRDefault="00C17691" w:rsidP="009E5547">
      <w:pPr>
        <w:rPr>
          <w:b/>
          <w:bCs/>
          <w:i/>
          <w:iCs/>
        </w:rPr>
      </w:pPr>
      <w:r w:rsidRPr="006C7C1B">
        <w:rPr>
          <w:b/>
          <w:bCs/>
          <w:i/>
          <w:iCs/>
        </w:rPr>
        <w:t>Proposal 2: Hop-by-hop flow control feedback for upstream can be within the BAP layer and can be based on the design for downstream flow control feedback.</w:t>
      </w:r>
    </w:p>
    <w:p w14:paraId="0DEC2E07" w14:textId="6875FFEA" w:rsidR="00B66EF7" w:rsidRDefault="00B66EF7" w:rsidP="00B66EF7">
      <w:pPr>
        <w:pStyle w:val="Heading2"/>
      </w:pPr>
      <w:r>
        <w:t>Path Redundancy and data split</w:t>
      </w:r>
    </w:p>
    <w:p w14:paraId="289B5977" w14:textId="49AE9197" w:rsidR="00723228" w:rsidRDefault="00723228" w:rsidP="00B66EF7">
      <w:r>
        <w:t>IAB nodes can be attached to two parents, enabling multiple paths from a donor to an access IAB node. However, there are limitations in how the multiple paths can be used. See the following from TS 38.300, section 6.11.3:</w:t>
      </w:r>
    </w:p>
    <w:p w14:paraId="49143B40" w14:textId="505E41D7" w:rsidR="00723228" w:rsidRPr="006C7C1B" w:rsidRDefault="00723228" w:rsidP="006C7C1B">
      <w:pPr>
        <w:ind w:left="720"/>
        <w:rPr>
          <w:i/>
          <w:iCs/>
          <w:lang w:eastAsia="x-none"/>
        </w:rPr>
      </w:pPr>
      <w:r w:rsidRPr="006C7C1B">
        <w:rPr>
          <w:i/>
          <w:iCs/>
          <w:lang w:eastAsia="x-none"/>
        </w:rPr>
        <w:lastRenderedPageBreak/>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p>
    <w:p w14:paraId="5956941F" w14:textId="2FB6B96F" w:rsidR="00723228" w:rsidRDefault="00723228" w:rsidP="00B66EF7">
      <w:r>
        <w:t>According to this, data of a radio bearer can normally use only one path even if multiple paths are configured. The only situation where an alternate path can be used for the radio bearer is when the primary path is unavailable due to an RLF.</w:t>
      </w:r>
    </w:p>
    <w:p w14:paraId="000C99DF" w14:textId="47F77401" w:rsidR="00E43C2C" w:rsidRDefault="00E43C2C" w:rsidP="00B66EF7">
      <w:r>
        <w:t xml:space="preserve">In order to better utilize available resources and enable higher data rates and lower latencies, it should be possible to split data of a radio bearer into two or more paths. </w:t>
      </w:r>
    </w:p>
    <w:p w14:paraId="51F82237" w14:textId="76670319" w:rsidR="00820C9C" w:rsidRPr="006C7C1B" w:rsidRDefault="00820C9C" w:rsidP="00B66EF7">
      <w:pPr>
        <w:rPr>
          <w:b/>
          <w:bCs/>
          <w:i/>
          <w:iCs/>
        </w:rPr>
      </w:pPr>
      <w:r w:rsidRPr="006C7C1B">
        <w:rPr>
          <w:b/>
          <w:bCs/>
          <w:i/>
          <w:iCs/>
        </w:rPr>
        <w:t>Proposal 3: Transmitting data of a bearer via two or more IAB paths should be supported.</w:t>
      </w:r>
    </w:p>
    <w:p w14:paraId="0FF49C30" w14:textId="7B2A2E3E" w:rsidR="00E43C2C" w:rsidRDefault="00820C9C" w:rsidP="00B66EF7">
      <w:r>
        <w:t xml:space="preserve">Below we analyse how such a split can be performed. </w:t>
      </w:r>
      <w:r w:rsidR="00E43C2C">
        <w:t>Consider the IAB network</w:t>
      </w:r>
      <w:r w:rsidR="001746FE">
        <w:t>s</w:t>
      </w:r>
      <w:r w:rsidR="00E43C2C">
        <w:t xml:space="preserve"> shown in </w:t>
      </w:r>
      <w:r w:rsidR="00E43C2C">
        <w:fldChar w:fldCharType="begin"/>
      </w:r>
      <w:r w:rsidR="00E43C2C">
        <w:instrText xml:space="preserve"> REF _Ref47366094 \h </w:instrText>
      </w:r>
      <w:r w:rsidR="00E43C2C">
        <w:fldChar w:fldCharType="separate"/>
      </w:r>
      <w:r w:rsidR="00E43C2C">
        <w:t xml:space="preserve">Figure </w:t>
      </w:r>
      <w:r w:rsidR="00E43C2C">
        <w:rPr>
          <w:noProof/>
        </w:rPr>
        <w:t>4</w:t>
      </w:r>
      <w:r w:rsidR="00E43C2C">
        <w:fldChar w:fldCharType="end"/>
      </w:r>
      <w:r w:rsidR="00E43C2C">
        <w:t xml:space="preserve">. </w:t>
      </w:r>
      <w:proofErr w:type="gramStart"/>
      <w:r w:rsidR="00E43C2C">
        <w:t>First</w:t>
      </w:r>
      <w:proofErr w:type="gramEnd"/>
      <w:r w:rsidR="00E43C2C">
        <w:t xml:space="preserve"> we discuss splitting downstream data so that one radio bearer is carried over two paths. In order to perform such a split, the donor </w:t>
      </w:r>
      <w:proofErr w:type="spellStart"/>
      <w:r w:rsidR="00E43C2C">
        <w:t>gNB</w:t>
      </w:r>
      <w:proofErr w:type="spellEnd"/>
      <w:r w:rsidR="00E43C2C">
        <w:t xml:space="preserve"> </w:t>
      </w:r>
      <w:proofErr w:type="gramStart"/>
      <w:r w:rsidR="00E43C2C">
        <w:t>has to</w:t>
      </w:r>
      <w:proofErr w:type="gramEnd"/>
      <w:r w:rsidR="00E43C2C">
        <w:t xml:space="preserve"> utilize two distinct BAP routing IDs – one for each path to IAB node 4. It then </w:t>
      </w:r>
      <w:proofErr w:type="gramStart"/>
      <w:r w:rsidR="00E43C2C">
        <w:t>has to</w:t>
      </w:r>
      <w:proofErr w:type="gramEnd"/>
      <w:r w:rsidR="00E43C2C">
        <w:t xml:space="preserve"> associate some portion of the data with the first BAP routing ID and the remainder with the second BAP routing ID. This can be performed by the donor and does not need further specification.  </w:t>
      </w:r>
    </w:p>
    <w:tbl>
      <w:tblPr>
        <w:tblStyle w:val="TableGrid"/>
        <w:tblW w:w="0" w:type="auto"/>
        <w:tblLook w:val="04A0" w:firstRow="1" w:lastRow="0" w:firstColumn="1" w:lastColumn="0" w:noHBand="0" w:noVBand="1"/>
      </w:tblPr>
      <w:tblGrid>
        <w:gridCol w:w="3715"/>
        <w:gridCol w:w="5635"/>
      </w:tblGrid>
      <w:tr w:rsidR="001746FE" w14:paraId="46C9657E" w14:textId="77777777" w:rsidTr="001746FE">
        <w:tc>
          <w:tcPr>
            <w:tcW w:w="4675" w:type="dxa"/>
          </w:tcPr>
          <w:p w14:paraId="54D8B5F6" w14:textId="77777777" w:rsidR="001746FE" w:rsidRDefault="001746FE" w:rsidP="006C7C1B">
            <w:pPr>
              <w:keepNext/>
              <w:jc w:val="center"/>
            </w:pPr>
            <w:r>
              <w:object w:dxaOrig="4956" w:dyaOrig="6384" w14:anchorId="2C625CEB">
                <v:shape id="_x0000_i1026" type="#_x0000_t75" style="width:174pt;height:225.6pt" o:ole="">
                  <v:imagedata r:id="rId12" o:title=""/>
                </v:shape>
                <o:OLEObject Type="Embed" ProgID="Visio.Drawing.15" ShapeID="_x0000_i1026" DrawAspect="Content" ObjectID="_1658256060" r:id="rId13"/>
              </w:object>
            </w:r>
          </w:p>
          <w:p w14:paraId="36CD4DC4" w14:textId="0928C881" w:rsidR="001746FE" w:rsidRDefault="001746FE" w:rsidP="006C7C1B">
            <w:pPr>
              <w:pStyle w:val="Caption"/>
              <w:jc w:val="center"/>
            </w:pPr>
            <w:bookmarkStart w:id="0" w:name="_Ref47382898"/>
            <w:r>
              <w:t xml:space="preserve">Figure </w:t>
            </w:r>
            <w:r>
              <w:fldChar w:fldCharType="begin"/>
            </w:r>
            <w:r>
              <w:instrText xml:space="preserve"> SEQ Figure \* ARABIC </w:instrText>
            </w:r>
            <w:r>
              <w:fldChar w:fldCharType="separate"/>
            </w:r>
            <w:r>
              <w:rPr>
                <w:noProof/>
              </w:rPr>
              <w:t>4</w:t>
            </w:r>
            <w:r>
              <w:fldChar w:fldCharType="end"/>
            </w:r>
            <w:bookmarkEnd w:id="0"/>
          </w:p>
        </w:tc>
        <w:tc>
          <w:tcPr>
            <w:tcW w:w="4675" w:type="dxa"/>
          </w:tcPr>
          <w:p w14:paraId="3C4F35EC" w14:textId="4D0F9272" w:rsidR="001746FE" w:rsidRDefault="001746FE" w:rsidP="006C7C1B">
            <w:pPr>
              <w:keepNext/>
              <w:jc w:val="center"/>
            </w:pPr>
            <w:r>
              <w:object w:dxaOrig="7752" w:dyaOrig="4968" w14:anchorId="3B804C40">
                <v:shape id="_x0000_i1027" type="#_x0000_t75" style="width:271.2pt;height:173.4pt" o:ole="">
                  <v:imagedata r:id="rId14" o:title=""/>
                </v:shape>
                <o:OLEObject Type="Embed" ProgID="Visio.Drawing.15" ShapeID="_x0000_i1027" DrawAspect="Content" ObjectID="_1658256061" r:id="rId15"/>
              </w:object>
            </w:r>
          </w:p>
          <w:p w14:paraId="7D2D1D49" w14:textId="27A2DBDD" w:rsidR="001746FE" w:rsidRDefault="001746FE" w:rsidP="006C7C1B">
            <w:pPr>
              <w:pStyle w:val="Caption"/>
              <w:jc w:val="center"/>
            </w:pPr>
            <w:bookmarkStart w:id="1" w:name="_Ref47382294"/>
            <w:r>
              <w:t xml:space="preserve">Figure </w:t>
            </w:r>
            <w:r>
              <w:fldChar w:fldCharType="begin"/>
            </w:r>
            <w:r>
              <w:instrText xml:space="preserve"> SEQ Figure \* ARABIC </w:instrText>
            </w:r>
            <w:r>
              <w:fldChar w:fldCharType="separate"/>
            </w:r>
            <w:r>
              <w:rPr>
                <w:noProof/>
              </w:rPr>
              <w:t>5</w:t>
            </w:r>
            <w:r>
              <w:fldChar w:fldCharType="end"/>
            </w:r>
            <w:bookmarkEnd w:id="1"/>
          </w:p>
        </w:tc>
      </w:tr>
    </w:tbl>
    <w:p w14:paraId="130D68CC" w14:textId="5C6C3CA5" w:rsidR="00E43C2C" w:rsidRDefault="00E43C2C" w:rsidP="006C7C1B">
      <w:pPr>
        <w:keepNext/>
      </w:pPr>
    </w:p>
    <w:p w14:paraId="46F3CF64" w14:textId="6C8794FE" w:rsidR="001746FE" w:rsidRDefault="001048EB" w:rsidP="001048EB">
      <w:r>
        <w:t xml:space="preserve">Considering the upstream traffic from the UE, the data split would occur at IAB node 3. Note however, that </w:t>
      </w:r>
      <w:r w:rsidR="001746FE">
        <w:t xml:space="preserve">the node at which the split occurs could be different from the access IAB node (see </w:t>
      </w:r>
      <w:r w:rsidR="001746FE">
        <w:fldChar w:fldCharType="begin"/>
      </w:r>
      <w:r w:rsidR="001746FE">
        <w:instrText xml:space="preserve"> REF _Ref47382294 \h </w:instrText>
      </w:r>
      <w:r w:rsidR="001746FE">
        <w:fldChar w:fldCharType="separate"/>
      </w:r>
      <w:r w:rsidR="001746FE">
        <w:t xml:space="preserve">Figure </w:t>
      </w:r>
      <w:r w:rsidR="001746FE">
        <w:rPr>
          <w:noProof/>
        </w:rPr>
        <w:t>5</w:t>
      </w:r>
      <w:r w:rsidR="001746FE">
        <w:fldChar w:fldCharType="end"/>
      </w:r>
      <w:r w:rsidR="001746FE">
        <w:t>). There are two possible approaches for splitting the upstream data of a bearer into the two paths:</w:t>
      </w:r>
    </w:p>
    <w:p w14:paraId="286BC2DF" w14:textId="4BC27429" w:rsidR="001746FE" w:rsidRDefault="001746FE" w:rsidP="001746FE">
      <w:pPr>
        <w:pStyle w:val="ListParagraph"/>
        <w:numPr>
          <w:ilvl w:val="0"/>
          <w:numId w:val="11"/>
        </w:numPr>
      </w:pPr>
      <w:r w:rsidRPr="006C7C1B">
        <w:rPr>
          <w:b/>
          <w:bCs/>
        </w:rPr>
        <w:lastRenderedPageBreak/>
        <w:t xml:space="preserve">Split </w:t>
      </w:r>
      <w:r w:rsidR="0072068E">
        <w:rPr>
          <w:b/>
          <w:bCs/>
        </w:rPr>
        <w:t>enforcement</w:t>
      </w:r>
      <w:r w:rsidRPr="006C7C1B">
        <w:rPr>
          <w:b/>
          <w:bCs/>
        </w:rPr>
        <w:t xml:space="preserve"> at node where there is branching</w:t>
      </w:r>
      <w:r>
        <w:t xml:space="preserve">: With this approach a single BAP routing ID is used for both paths and the node where the branching occurs performs the split of the data. </w:t>
      </w:r>
      <w:r w:rsidR="00ED4B78">
        <w:t xml:space="preserve">The split consists of mapping some portion of the data to a backhaul RLC channel corresponding to the link to the first parent node and the remaining data to the backhaul RLC channel corresponding to the link to the second parent node. </w:t>
      </w:r>
      <w:r>
        <w:t xml:space="preserve">For the examples in </w:t>
      </w:r>
      <w:r>
        <w:fldChar w:fldCharType="begin"/>
      </w:r>
      <w:r>
        <w:instrText xml:space="preserve"> REF _Ref47382898 \h </w:instrText>
      </w:r>
      <w:r>
        <w:fldChar w:fldCharType="separate"/>
      </w:r>
      <w:r>
        <w:t xml:space="preserve">Figure </w:t>
      </w:r>
      <w:r>
        <w:rPr>
          <w:noProof/>
        </w:rPr>
        <w:t>4</w:t>
      </w:r>
      <w:r>
        <w:fldChar w:fldCharType="end"/>
      </w:r>
      <w:r>
        <w:t xml:space="preserve"> and </w:t>
      </w:r>
      <w:r>
        <w:fldChar w:fldCharType="begin"/>
      </w:r>
      <w:r>
        <w:instrText xml:space="preserve"> REF _Ref47382294 \h </w:instrText>
      </w:r>
      <w:r>
        <w:fldChar w:fldCharType="separate"/>
      </w:r>
      <w:r>
        <w:t xml:space="preserve">Figure </w:t>
      </w:r>
      <w:r>
        <w:rPr>
          <w:noProof/>
        </w:rPr>
        <w:t>5</w:t>
      </w:r>
      <w:r>
        <w:fldChar w:fldCharType="end"/>
      </w:r>
      <w:r>
        <w:t>, this split would occur at IAB node 3.</w:t>
      </w:r>
    </w:p>
    <w:p w14:paraId="21E9EEF1" w14:textId="7DEF1E76" w:rsidR="001746FE" w:rsidRDefault="001746FE" w:rsidP="006C7C1B">
      <w:pPr>
        <w:pStyle w:val="ListParagraph"/>
        <w:numPr>
          <w:ilvl w:val="0"/>
          <w:numId w:val="11"/>
        </w:numPr>
      </w:pPr>
      <w:r w:rsidRPr="006C7C1B">
        <w:rPr>
          <w:b/>
          <w:bCs/>
        </w:rPr>
        <w:t xml:space="preserve">Split </w:t>
      </w:r>
      <w:r w:rsidR="0072068E">
        <w:rPr>
          <w:b/>
          <w:bCs/>
        </w:rPr>
        <w:t>enforcement</w:t>
      </w:r>
      <w:r w:rsidRPr="006C7C1B">
        <w:rPr>
          <w:b/>
          <w:bCs/>
        </w:rPr>
        <w:t xml:space="preserve"> at access IAB node</w:t>
      </w:r>
      <w:r>
        <w:t xml:space="preserve">: With this approach, separate BAP routing IDs are used for the two paths and the access IAB node associates some packets with the first BAP routing ID and the remaining packets with a second BAP routing ID. Intermediate IAB nodes perform routing according to the BAP routing IDs. </w:t>
      </w:r>
      <w:r w:rsidR="00820C9C">
        <w:t xml:space="preserve">For the example in </w:t>
      </w:r>
      <w:r w:rsidR="00820C9C">
        <w:fldChar w:fldCharType="begin"/>
      </w:r>
      <w:r w:rsidR="00820C9C">
        <w:instrText xml:space="preserve"> REF _Ref47382898 \h </w:instrText>
      </w:r>
      <w:r w:rsidR="00820C9C">
        <w:fldChar w:fldCharType="separate"/>
      </w:r>
      <w:r w:rsidR="00820C9C">
        <w:t xml:space="preserve">Figure </w:t>
      </w:r>
      <w:r w:rsidR="00820C9C">
        <w:rPr>
          <w:noProof/>
        </w:rPr>
        <w:t>4</w:t>
      </w:r>
      <w:r w:rsidR="00820C9C">
        <w:fldChar w:fldCharType="end"/>
      </w:r>
      <w:r w:rsidR="00820C9C">
        <w:t xml:space="preserve">, this split would occur at IAB node 3 and for the example in </w:t>
      </w:r>
      <w:r w:rsidR="00820C9C">
        <w:fldChar w:fldCharType="begin"/>
      </w:r>
      <w:r w:rsidR="00820C9C">
        <w:instrText xml:space="preserve"> REF _Ref47382294 \h </w:instrText>
      </w:r>
      <w:r w:rsidR="00820C9C">
        <w:fldChar w:fldCharType="separate"/>
      </w:r>
      <w:r w:rsidR="00820C9C">
        <w:t xml:space="preserve">Figure </w:t>
      </w:r>
      <w:r w:rsidR="00820C9C">
        <w:rPr>
          <w:noProof/>
        </w:rPr>
        <w:t>5</w:t>
      </w:r>
      <w:r w:rsidR="00820C9C">
        <w:fldChar w:fldCharType="end"/>
      </w:r>
      <w:r w:rsidR="00820C9C">
        <w:t xml:space="preserve"> the split would occur at IAB node 4.</w:t>
      </w:r>
    </w:p>
    <w:p w14:paraId="59707F57" w14:textId="6244DB84" w:rsidR="00DF2078" w:rsidRDefault="00DF2078" w:rsidP="00DF2078">
      <w:r>
        <w:t xml:space="preserve">With the first option, given that the data split </w:t>
      </w:r>
      <w:r w:rsidR="007D612D">
        <w:t xml:space="preserve">can occur at intermediate IAB nodes (i.e., after the access IAB node has </w:t>
      </w:r>
      <w:r w:rsidR="00651EC5">
        <w:t xml:space="preserve">determined BAP routing IDs and </w:t>
      </w:r>
      <w:r w:rsidR="007D612D">
        <w:t>constructed BAP headers</w:t>
      </w:r>
      <w:r w:rsidR="00651EC5">
        <w:t>)</w:t>
      </w:r>
      <w:r w:rsidR="00C71AEA">
        <w:t xml:space="preserve">, the </w:t>
      </w:r>
      <w:r w:rsidR="00760FFE">
        <w:t>split</w:t>
      </w:r>
      <w:r w:rsidR="00C12E3C">
        <w:t xml:space="preserve"> enforcement needs to be performed </w:t>
      </w:r>
      <w:r w:rsidR="00950A17">
        <w:t xml:space="preserve">on </w:t>
      </w:r>
      <w:r w:rsidR="002A4E2E">
        <w:t>BAP PDUs with the same BAP routing ID. This entails a slight modification to the routing procedures defined in Release 16 at the BAP layer. However,</w:t>
      </w:r>
      <w:r w:rsidR="000245ED">
        <w:t xml:space="preserve"> since the node where the branching occurs has better visibility to the link conditions on the two branches,</w:t>
      </w:r>
      <w:r w:rsidR="002A4E2E">
        <w:t xml:space="preserve"> </w:t>
      </w:r>
      <w:r w:rsidR="000245ED">
        <w:t xml:space="preserve">the first option </w:t>
      </w:r>
      <w:proofErr w:type="gramStart"/>
      <w:r w:rsidR="000245ED">
        <w:t>is able to</w:t>
      </w:r>
      <w:proofErr w:type="gramEnd"/>
      <w:r w:rsidR="000245ED">
        <w:t xml:space="preserve"> better adapt to the conditions on the outbound links.</w:t>
      </w:r>
    </w:p>
    <w:p w14:paraId="06A64FD1" w14:textId="2D79708B" w:rsidR="000245ED" w:rsidRDefault="009F5B6B" w:rsidP="00FF318C">
      <w:r>
        <w:t>With the second option, the data split is performed by the access IAB nodes by using separate BAP routing IDs. This ensures that the routing procedure defined in Release 16 is unchanged. However, it may not be as reactive to link conditions as the first option.</w:t>
      </w:r>
    </w:p>
    <w:p w14:paraId="63E4DC22" w14:textId="5A305179" w:rsidR="001048EB" w:rsidRPr="006C7C1B" w:rsidRDefault="00820C9C" w:rsidP="001048EB">
      <w:pPr>
        <w:rPr>
          <w:b/>
          <w:bCs/>
          <w:i/>
          <w:iCs/>
        </w:rPr>
      </w:pPr>
      <w:r w:rsidRPr="006C7C1B">
        <w:rPr>
          <w:b/>
          <w:bCs/>
          <w:i/>
          <w:iCs/>
        </w:rPr>
        <w:t xml:space="preserve">Proposal 4: RAN2 should discuss the above two options </w:t>
      </w:r>
      <w:r>
        <w:rPr>
          <w:b/>
          <w:bCs/>
          <w:i/>
          <w:iCs/>
        </w:rPr>
        <w:t xml:space="preserve">for the </w:t>
      </w:r>
      <w:r w:rsidR="0072068E">
        <w:rPr>
          <w:b/>
          <w:bCs/>
          <w:i/>
          <w:iCs/>
        </w:rPr>
        <w:t xml:space="preserve">split enforcement </w:t>
      </w:r>
      <w:r>
        <w:rPr>
          <w:b/>
          <w:bCs/>
          <w:i/>
          <w:iCs/>
        </w:rPr>
        <w:t>node</w:t>
      </w:r>
      <w:r w:rsidR="0072068E">
        <w:rPr>
          <w:b/>
          <w:bCs/>
          <w:i/>
          <w:iCs/>
        </w:rPr>
        <w:t xml:space="preserve"> </w:t>
      </w:r>
      <w:r w:rsidRPr="006C7C1B">
        <w:rPr>
          <w:b/>
          <w:bCs/>
          <w:i/>
          <w:iCs/>
        </w:rPr>
        <w:t>and decide which option should be supported.</w:t>
      </w:r>
    </w:p>
    <w:p w14:paraId="5DDDEF33" w14:textId="47196BB7" w:rsidR="001048EB" w:rsidRDefault="001048EB" w:rsidP="001048EB">
      <w:r>
        <w:t xml:space="preserve">However, </w:t>
      </w:r>
      <w:r w:rsidR="001F68C7">
        <w:t>split enforcement node</w:t>
      </w:r>
      <w:r>
        <w:t xml:space="preserve"> </w:t>
      </w:r>
      <w:r w:rsidR="001F68C7">
        <w:t>may need additional means</w:t>
      </w:r>
      <w:r>
        <w:t xml:space="preserve"> to </w:t>
      </w:r>
      <w:r w:rsidR="001F68C7">
        <w:t>perform</w:t>
      </w:r>
      <w:r>
        <w:t xml:space="preserve"> a reasonable split of data. </w:t>
      </w:r>
    </w:p>
    <w:p w14:paraId="262E521E" w14:textId="7D7F8E3E" w:rsidR="001048EB" w:rsidRDefault="001048EB" w:rsidP="001048EB">
      <w:pPr>
        <w:pStyle w:val="ListParagraph"/>
        <w:numPr>
          <w:ilvl w:val="0"/>
          <w:numId w:val="10"/>
        </w:numPr>
      </w:pPr>
      <w:r>
        <w:t xml:space="preserve">Given the absence of PDCP at IAB nodes, </w:t>
      </w:r>
      <w:r w:rsidR="001F68C7">
        <w:t xml:space="preserve">split enforcement node does not have </w:t>
      </w:r>
      <w:r>
        <w:t xml:space="preserve">means to determine </w:t>
      </w:r>
      <w:r w:rsidRPr="006C7C1B">
        <w:rPr>
          <w:i/>
          <w:iCs/>
        </w:rPr>
        <w:t>when</w:t>
      </w:r>
      <w:r>
        <w:t xml:space="preserve"> to perform splitting of the traffic. </w:t>
      </w:r>
    </w:p>
    <w:p w14:paraId="5A111387" w14:textId="06D2F98F" w:rsidR="001048EB" w:rsidRDefault="001048EB" w:rsidP="001048EB">
      <w:pPr>
        <w:pStyle w:val="ListParagraph"/>
        <w:numPr>
          <w:ilvl w:val="0"/>
          <w:numId w:val="10"/>
        </w:numPr>
      </w:pPr>
      <w:r>
        <w:t xml:space="preserve">The </w:t>
      </w:r>
      <w:r w:rsidR="001F68C7">
        <w:t>split enforcement node</w:t>
      </w:r>
      <w:r>
        <w:t xml:space="preserve"> is unaware of the topology upstream. It also does not know the characteristics of the links on the two paths. Splitting data according to some pre-determined ratio can result in significant problems. For example, if the supported data rate on one path is lower than on the other path, and the </w:t>
      </w:r>
      <w:r w:rsidR="001F68C7">
        <w:t>split enforcement</w:t>
      </w:r>
      <w:r>
        <w:t xml:space="preserve"> node splits the data equally between the two paths, congestion can result on one path and under-utilization on the other. </w:t>
      </w:r>
    </w:p>
    <w:p w14:paraId="72DF8B47" w14:textId="626F3F03" w:rsidR="001048EB" w:rsidRDefault="001048EB" w:rsidP="001048EB">
      <w:r>
        <w:t xml:space="preserve">In our view a simple solution to overcome this issue is to have a configured split of the data volume at the </w:t>
      </w:r>
      <w:r w:rsidR="00ED4B78">
        <w:t>split enforcement node</w:t>
      </w:r>
      <w:r>
        <w:t>, for a bearer that uses multiple routes. The IAB donor CU has a complete view of the network topology and link qualities. It can estimate the data rates supportable via the multiple routes. Based on this, the CU can:</w:t>
      </w:r>
    </w:p>
    <w:p w14:paraId="01483BCB" w14:textId="7F0D9213" w:rsidR="001048EB" w:rsidRDefault="001048EB" w:rsidP="001048EB">
      <w:pPr>
        <w:pStyle w:val="ListParagraph"/>
        <w:numPr>
          <w:ilvl w:val="0"/>
          <w:numId w:val="10"/>
        </w:numPr>
      </w:pPr>
      <w:r>
        <w:t>Configure a threshold such that if the data volume is higher than the threshold then the data split is performed</w:t>
      </w:r>
      <w:r w:rsidR="00ED4B78">
        <w:t xml:space="preserve"> by the split enforcement node</w:t>
      </w:r>
      <w:r>
        <w:t xml:space="preserve">. This is </w:t>
      </w:r>
      <w:proofErr w:type="gramStart"/>
      <w:r>
        <w:t>similar to</w:t>
      </w:r>
      <w:proofErr w:type="gramEnd"/>
      <w:r>
        <w:t xml:space="preserve"> the </w:t>
      </w:r>
      <w:r w:rsidRPr="006C7C1B">
        <w:rPr>
          <w:i/>
          <w:iCs/>
        </w:rPr>
        <w:t>ul-</w:t>
      </w:r>
      <w:proofErr w:type="spellStart"/>
      <w:r w:rsidRPr="006C7C1B">
        <w:rPr>
          <w:i/>
          <w:iCs/>
        </w:rPr>
        <w:t>DataSplitThreshold</w:t>
      </w:r>
      <w:proofErr w:type="spellEnd"/>
      <w:r>
        <w:t xml:space="preserve"> defined for dual connectivity. For example, IAB node 3 in </w:t>
      </w:r>
      <w:r>
        <w:fldChar w:fldCharType="begin"/>
      </w:r>
      <w:r>
        <w:instrText xml:space="preserve"> REF _Ref47366094 \h </w:instrText>
      </w:r>
      <w:r>
        <w:fldChar w:fldCharType="separate"/>
      </w:r>
      <w:r>
        <w:t xml:space="preserve">Figure </w:t>
      </w:r>
      <w:r>
        <w:rPr>
          <w:noProof/>
        </w:rPr>
        <w:t>4</w:t>
      </w:r>
      <w:r>
        <w:fldChar w:fldCharType="end"/>
      </w:r>
      <w:r>
        <w:t xml:space="preserve"> can be configured with such a threshold so that the corresponding node splits the data if the data volume exceeds the threshold.</w:t>
      </w:r>
    </w:p>
    <w:p w14:paraId="5E1B6476" w14:textId="46A9D551" w:rsidR="001048EB" w:rsidRDefault="001048EB" w:rsidP="006C7C1B">
      <w:pPr>
        <w:pStyle w:val="ListParagraph"/>
        <w:numPr>
          <w:ilvl w:val="0"/>
          <w:numId w:val="10"/>
        </w:numPr>
      </w:pPr>
      <w:r>
        <w:lastRenderedPageBreak/>
        <w:t xml:space="preserve">Configure ratios of data that are to be associated with the multiple BAP routing IDs at the access IAB node. Furthermore, these ratios can be updated by the CU when there are significant changes (e.g., change in link quality on one of the paths). </w:t>
      </w:r>
    </w:p>
    <w:p w14:paraId="5BE9F821" w14:textId="461C0B51" w:rsidR="001048EB" w:rsidRDefault="001048EB" w:rsidP="2C5F5605">
      <w:pPr>
        <w:rPr>
          <w:b/>
          <w:bCs/>
          <w:i/>
          <w:iCs/>
        </w:rPr>
      </w:pPr>
      <w:r w:rsidRPr="2C5F5605">
        <w:rPr>
          <w:b/>
          <w:bCs/>
          <w:i/>
          <w:iCs/>
        </w:rPr>
        <w:t xml:space="preserve">Proposal </w:t>
      </w:r>
      <w:r w:rsidR="0098070C" w:rsidRPr="2C5F5605">
        <w:rPr>
          <w:b/>
          <w:bCs/>
          <w:i/>
          <w:iCs/>
        </w:rPr>
        <w:t>5</w:t>
      </w:r>
      <w:r w:rsidRPr="2C5F5605">
        <w:rPr>
          <w:b/>
          <w:bCs/>
          <w:i/>
          <w:iCs/>
        </w:rPr>
        <w:t>: For bearers that are carried on multiple paths, the BAP layer at the</w:t>
      </w:r>
      <w:r w:rsidR="00284B10">
        <w:rPr>
          <w:b/>
          <w:bCs/>
          <w:i/>
          <w:iCs/>
        </w:rPr>
        <w:t xml:space="preserve"> split enforcement node (either the access IAB node or an intermediate node)</w:t>
      </w:r>
      <w:r w:rsidRPr="2C5F5605">
        <w:rPr>
          <w:b/>
          <w:bCs/>
          <w:i/>
          <w:iCs/>
        </w:rPr>
        <w:t xml:space="preserve"> is configured with parameters to enable partitioning of data such that different partitions are associated with different BAP routing IDs.</w:t>
      </w:r>
    </w:p>
    <w:p w14:paraId="1F8AD035" w14:textId="77777777" w:rsidR="005E43A7" w:rsidRDefault="005E43A7" w:rsidP="005E43A7">
      <w:pPr>
        <w:pStyle w:val="Heading1"/>
      </w:pPr>
      <w:r>
        <w:t>Conclusion</w:t>
      </w:r>
    </w:p>
    <w:p w14:paraId="6E7F6FDD" w14:textId="52C775A5" w:rsidR="00C72092" w:rsidRDefault="00124E9A" w:rsidP="005E43A7">
      <w:r>
        <w:t xml:space="preserve">This contribution discussed two important </w:t>
      </w:r>
      <w:r w:rsidR="006F2F2B">
        <w:t xml:space="preserve">features of IAB that </w:t>
      </w:r>
      <w:r w:rsidR="00983ACB">
        <w:t xml:space="preserve">are considered for enhancement: congestion handling via flow control and </w:t>
      </w:r>
      <w:r w:rsidR="0080327C">
        <w:t>data splitting into two or more paths.</w:t>
      </w:r>
      <w:r w:rsidR="00BE350E">
        <w:t xml:space="preserve"> For flow control we discuss the motivations for having uplink flow control and </w:t>
      </w:r>
      <w:r w:rsidR="008D1687">
        <w:t xml:space="preserve">describe the overall functionality. For </w:t>
      </w:r>
      <w:r w:rsidR="00910DB2">
        <w:t>data splitting we consider options for where in the network uplink data splitting can be performed and the necessary configuration to make such splitting possible. Our proposals are below.</w:t>
      </w:r>
    </w:p>
    <w:p w14:paraId="3CDD39F5" w14:textId="77777777" w:rsidR="00910DB2" w:rsidRPr="006C7C1B" w:rsidRDefault="00910DB2" w:rsidP="00910DB2">
      <w:pPr>
        <w:rPr>
          <w:b/>
          <w:bCs/>
          <w:i/>
          <w:iCs/>
        </w:rPr>
      </w:pPr>
      <w:r w:rsidRPr="006C7C1B">
        <w:rPr>
          <w:b/>
          <w:bCs/>
          <w:i/>
          <w:iCs/>
        </w:rPr>
        <w:t>Proposal 1: Hop-by-hop flow con</w:t>
      </w:r>
      <w:bookmarkStart w:id="2" w:name="_GoBack"/>
      <w:bookmarkEnd w:id="2"/>
      <w:r w:rsidRPr="006C7C1B">
        <w:rPr>
          <w:b/>
          <w:bCs/>
          <w:i/>
          <w:iCs/>
        </w:rPr>
        <w:t>trol feedback for upstream traffic is introduced.</w:t>
      </w:r>
    </w:p>
    <w:p w14:paraId="0E054C4A" w14:textId="77777777" w:rsidR="00910DB2" w:rsidRPr="006C7C1B" w:rsidRDefault="00910DB2" w:rsidP="00910DB2">
      <w:pPr>
        <w:rPr>
          <w:b/>
          <w:bCs/>
          <w:i/>
          <w:iCs/>
        </w:rPr>
      </w:pPr>
      <w:r w:rsidRPr="006C7C1B">
        <w:rPr>
          <w:b/>
          <w:bCs/>
          <w:i/>
          <w:iCs/>
        </w:rPr>
        <w:t>Proposal 2: Hop-by-hop flow control feedback for upstream can be within the BAP layer and can be based on the design for downstream flow control feedback.</w:t>
      </w:r>
    </w:p>
    <w:p w14:paraId="7C4C7604" w14:textId="77777777" w:rsidR="00910DB2" w:rsidRPr="006C7C1B" w:rsidRDefault="00910DB2" w:rsidP="00910DB2">
      <w:pPr>
        <w:rPr>
          <w:b/>
          <w:bCs/>
          <w:i/>
          <w:iCs/>
        </w:rPr>
      </w:pPr>
      <w:r w:rsidRPr="006C7C1B">
        <w:rPr>
          <w:b/>
          <w:bCs/>
          <w:i/>
          <w:iCs/>
        </w:rPr>
        <w:t>Proposal 3: Transmitting data of a bearer via two or more IAB paths should be supported.</w:t>
      </w:r>
    </w:p>
    <w:p w14:paraId="1C586E11" w14:textId="77777777" w:rsidR="00910DB2" w:rsidRPr="006C7C1B" w:rsidRDefault="00910DB2" w:rsidP="00910DB2">
      <w:pPr>
        <w:rPr>
          <w:b/>
          <w:bCs/>
          <w:i/>
          <w:iCs/>
        </w:rPr>
      </w:pPr>
      <w:r w:rsidRPr="006C7C1B">
        <w:rPr>
          <w:b/>
          <w:bCs/>
          <w:i/>
          <w:iCs/>
        </w:rPr>
        <w:t xml:space="preserve">Proposal 4: RAN2 should discuss the above two options </w:t>
      </w:r>
      <w:r>
        <w:rPr>
          <w:b/>
          <w:bCs/>
          <w:i/>
          <w:iCs/>
        </w:rPr>
        <w:t xml:space="preserve">for the split enforcement node </w:t>
      </w:r>
      <w:r w:rsidRPr="006C7C1B">
        <w:rPr>
          <w:b/>
          <w:bCs/>
          <w:i/>
          <w:iCs/>
        </w:rPr>
        <w:t>and decide which option should be supported.</w:t>
      </w:r>
    </w:p>
    <w:p w14:paraId="6AF8C0FC" w14:textId="62D17EE1" w:rsidR="00910DB2" w:rsidRPr="00FF318C" w:rsidRDefault="00910DB2" w:rsidP="005E43A7">
      <w:pPr>
        <w:rPr>
          <w:b/>
          <w:bCs/>
          <w:i/>
          <w:iCs/>
        </w:rPr>
      </w:pPr>
      <w:r w:rsidRPr="2C5F5605">
        <w:rPr>
          <w:b/>
          <w:bCs/>
          <w:i/>
          <w:iCs/>
        </w:rPr>
        <w:t>Proposal 5: For bearers that are carried on multiple paths, the BAP layer at the</w:t>
      </w:r>
      <w:r>
        <w:rPr>
          <w:b/>
          <w:bCs/>
          <w:i/>
          <w:iCs/>
        </w:rPr>
        <w:t xml:space="preserve"> split enforcement node (either the access IAB node or an intermediate node)</w:t>
      </w:r>
      <w:r w:rsidRPr="2C5F5605">
        <w:rPr>
          <w:b/>
          <w:bCs/>
          <w:i/>
          <w:iCs/>
        </w:rPr>
        <w:t xml:space="preserve"> is configured with parameters to enable partitioning of data such that different partitions are associated with different BAP routing IDs.</w:t>
      </w:r>
    </w:p>
    <w:p w14:paraId="0E4C7712" w14:textId="77777777" w:rsidR="005E43A7" w:rsidRPr="005E43A7" w:rsidRDefault="005E43A7" w:rsidP="005E43A7">
      <w:pPr>
        <w:pStyle w:val="Heading1"/>
      </w:pPr>
      <w:r>
        <w:t>References</w:t>
      </w:r>
    </w:p>
    <w:p w14:paraId="26809C85" w14:textId="65E59A45" w:rsidR="005E43A7" w:rsidRDefault="009E5547" w:rsidP="00A16C55">
      <w:pPr>
        <w:pStyle w:val="ListParagraph"/>
        <w:numPr>
          <w:ilvl w:val="0"/>
          <w:numId w:val="7"/>
        </w:numPr>
      </w:pPr>
      <w:bookmarkStart w:id="3" w:name="_Ref47296996"/>
      <w:r>
        <w:t>TS 38.425</w:t>
      </w:r>
      <w:bookmarkEnd w:id="3"/>
    </w:p>
    <w:p w14:paraId="7D27AB78" w14:textId="3E832B85" w:rsidR="009E5547" w:rsidRDefault="009E5547" w:rsidP="00A16C55">
      <w:pPr>
        <w:pStyle w:val="ListParagraph"/>
        <w:numPr>
          <w:ilvl w:val="0"/>
          <w:numId w:val="7"/>
        </w:numPr>
      </w:pPr>
      <w:bookmarkStart w:id="4" w:name="_Ref47297874"/>
      <w:r>
        <w:t>R2-1910449, “Flow Control in IAB”</w:t>
      </w:r>
      <w:bookmarkEnd w:id="4"/>
    </w:p>
    <w:p w14:paraId="49295506" w14:textId="3CEB04A8" w:rsidR="003268E7" w:rsidRDefault="00667896" w:rsidP="00A16C55">
      <w:pPr>
        <w:pStyle w:val="ListParagraph"/>
        <w:numPr>
          <w:ilvl w:val="0"/>
          <w:numId w:val="7"/>
        </w:numPr>
      </w:pPr>
      <w:r>
        <w:t>R3-</w:t>
      </w:r>
      <w:r w:rsidR="00373BA4">
        <w:t>204746</w:t>
      </w:r>
      <w:r>
        <w:t>,</w:t>
      </w:r>
    </w:p>
    <w:p w14:paraId="2F016FE3"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DE35F5B" w16cex:dateUtc="2020-08-06T08:0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0388A"/>
    <w:multiLevelType w:val="hybridMultilevel"/>
    <w:tmpl w:val="B470BB9A"/>
    <w:lvl w:ilvl="0" w:tplc="42D8DDB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E5263B"/>
    <w:multiLevelType w:val="hybridMultilevel"/>
    <w:tmpl w:val="23945D88"/>
    <w:lvl w:ilvl="0" w:tplc="0C1E533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064D96"/>
    <w:multiLevelType w:val="hybridMultilevel"/>
    <w:tmpl w:val="F75640A4"/>
    <w:lvl w:ilvl="0" w:tplc="966E9EF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
  </w:num>
  <w:num w:numId="4">
    <w:abstractNumId w:val="2"/>
  </w:num>
  <w:num w:numId="5">
    <w:abstractNumId w:val="10"/>
  </w:num>
  <w:num w:numId="6">
    <w:abstractNumId w:val="6"/>
  </w:num>
  <w:num w:numId="7">
    <w:abstractNumId w:val="0"/>
  </w:num>
  <w:num w:numId="8">
    <w:abstractNumId w:val="5"/>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1771A"/>
    <w:rsid w:val="000245ED"/>
    <w:rsid w:val="00055D7C"/>
    <w:rsid w:val="000973A9"/>
    <w:rsid w:val="000A6C69"/>
    <w:rsid w:val="000A70B6"/>
    <w:rsid w:val="000E7415"/>
    <w:rsid w:val="000F3150"/>
    <w:rsid w:val="001048EB"/>
    <w:rsid w:val="001105F6"/>
    <w:rsid w:val="00124E9A"/>
    <w:rsid w:val="001746FE"/>
    <w:rsid w:val="0019295F"/>
    <w:rsid w:val="001C0BA2"/>
    <w:rsid w:val="001F68C7"/>
    <w:rsid w:val="00284B10"/>
    <w:rsid w:val="00297DC9"/>
    <w:rsid w:val="002A16FD"/>
    <w:rsid w:val="002A4E2E"/>
    <w:rsid w:val="002A6F63"/>
    <w:rsid w:val="002F327A"/>
    <w:rsid w:val="003268E7"/>
    <w:rsid w:val="0036784B"/>
    <w:rsid w:val="00373BA4"/>
    <w:rsid w:val="00376D47"/>
    <w:rsid w:val="0039395C"/>
    <w:rsid w:val="003E37E9"/>
    <w:rsid w:val="0041213F"/>
    <w:rsid w:val="00430F7C"/>
    <w:rsid w:val="0043138E"/>
    <w:rsid w:val="004375F9"/>
    <w:rsid w:val="00462D95"/>
    <w:rsid w:val="004A3D24"/>
    <w:rsid w:val="004B7502"/>
    <w:rsid w:val="004E320B"/>
    <w:rsid w:val="00500CCA"/>
    <w:rsid w:val="005364A7"/>
    <w:rsid w:val="005442F2"/>
    <w:rsid w:val="0055044A"/>
    <w:rsid w:val="0055227E"/>
    <w:rsid w:val="005A2C79"/>
    <w:rsid w:val="005E382E"/>
    <w:rsid w:val="005E43A7"/>
    <w:rsid w:val="005F49D8"/>
    <w:rsid w:val="006216AB"/>
    <w:rsid w:val="00623366"/>
    <w:rsid w:val="00651EC5"/>
    <w:rsid w:val="00657311"/>
    <w:rsid w:val="00667896"/>
    <w:rsid w:val="00695B2B"/>
    <w:rsid w:val="006B2AE5"/>
    <w:rsid w:val="006B395C"/>
    <w:rsid w:val="006C7C1B"/>
    <w:rsid w:val="006E2F45"/>
    <w:rsid w:val="006F2F2B"/>
    <w:rsid w:val="00704D73"/>
    <w:rsid w:val="0072068E"/>
    <w:rsid w:val="00723228"/>
    <w:rsid w:val="00752450"/>
    <w:rsid w:val="00760FFE"/>
    <w:rsid w:val="0078120A"/>
    <w:rsid w:val="00793304"/>
    <w:rsid w:val="00793B90"/>
    <w:rsid w:val="007956A8"/>
    <w:rsid w:val="007D612D"/>
    <w:rsid w:val="007F6264"/>
    <w:rsid w:val="0080327C"/>
    <w:rsid w:val="00820C9C"/>
    <w:rsid w:val="008247AE"/>
    <w:rsid w:val="008370A4"/>
    <w:rsid w:val="00867DF5"/>
    <w:rsid w:val="008934F7"/>
    <w:rsid w:val="0089546A"/>
    <w:rsid w:val="008A6BB3"/>
    <w:rsid w:val="008B45BC"/>
    <w:rsid w:val="008D1687"/>
    <w:rsid w:val="008F118A"/>
    <w:rsid w:val="00910DB2"/>
    <w:rsid w:val="00950A17"/>
    <w:rsid w:val="00980435"/>
    <w:rsid w:val="0098070C"/>
    <w:rsid w:val="00983ACB"/>
    <w:rsid w:val="009C0221"/>
    <w:rsid w:val="009D7305"/>
    <w:rsid w:val="009E5547"/>
    <w:rsid w:val="009F5B6B"/>
    <w:rsid w:val="00A15DF2"/>
    <w:rsid w:val="00A16C55"/>
    <w:rsid w:val="00A413BB"/>
    <w:rsid w:val="00A92518"/>
    <w:rsid w:val="00AA3AD0"/>
    <w:rsid w:val="00AE0048"/>
    <w:rsid w:val="00AF307D"/>
    <w:rsid w:val="00B00F91"/>
    <w:rsid w:val="00B134C2"/>
    <w:rsid w:val="00B17594"/>
    <w:rsid w:val="00B42FE8"/>
    <w:rsid w:val="00B51505"/>
    <w:rsid w:val="00B66EF7"/>
    <w:rsid w:val="00B75519"/>
    <w:rsid w:val="00BD171E"/>
    <w:rsid w:val="00BD3D78"/>
    <w:rsid w:val="00BD74BB"/>
    <w:rsid w:val="00BE350E"/>
    <w:rsid w:val="00C06AF3"/>
    <w:rsid w:val="00C06EF0"/>
    <w:rsid w:val="00C12E3C"/>
    <w:rsid w:val="00C1444A"/>
    <w:rsid w:val="00C17691"/>
    <w:rsid w:val="00C32143"/>
    <w:rsid w:val="00C33CEB"/>
    <w:rsid w:val="00C46202"/>
    <w:rsid w:val="00C67941"/>
    <w:rsid w:val="00C71AEA"/>
    <w:rsid w:val="00C72092"/>
    <w:rsid w:val="00C912D3"/>
    <w:rsid w:val="00CC1504"/>
    <w:rsid w:val="00CC3C25"/>
    <w:rsid w:val="00CF25DB"/>
    <w:rsid w:val="00D571C8"/>
    <w:rsid w:val="00D64870"/>
    <w:rsid w:val="00DA6E05"/>
    <w:rsid w:val="00DB5690"/>
    <w:rsid w:val="00DD6275"/>
    <w:rsid w:val="00DF2078"/>
    <w:rsid w:val="00E42E5A"/>
    <w:rsid w:val="00E43C2C"/>
    <w:rsid w:val="00E47BA9"/>
    <w:rsid w:val="00E51C6E"/>
    <w:rsid w:val="00E74B49"/>
    <w:rsid w:val="00E837ED"/>
    <w:rsid w:val="00EC34EB"/>
    <w:rsid w:val="00ED4B78"/>
    <w:rsid w:val="00EE61FA"/>
    <w:rsid w:val="00F0040D"/>
    <w:rsid w:val="00F23667"/>
    <w:rsid w:val="00F4145D"/>
    <w:rsid w:val="00FC6DB9"/>
    <w:rsid w:val="00FF318C"/>
    <w:rsid w:val="00FF4CA8"/>
    <w:rsid w:val="2C5F5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1B445"/>
  <w15:chartTrackingRefBased/>
  <w15:docId w15:val="{47BBD395-6F6C-41D8-B617-984A21D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E554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C34E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aliases w:val="- Bullets,목록 단락,リスト段落,?? ??,?????,????,Lista1,列出段落"/>
    <w:basedOn w:val="Normal"/>
    <w:link w:val="ListParagraphChar"/>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364A7"/>
    <w:rPr>
      <w:sz w:val="16"/>
      <w:szCs w:val="16"/>
    </w:rPr>
  </w:style>
  <w:style w:type="paragraph" w:styleId="CommentText">
    <w:name w:val="annotation text"/>
    <w:basedOn w:val="Normal"/>
    <w:link w:val="CommentTextChar"/>
    <w:uiPriority w:val="99"/>
    <w:semiHidden/>
    <w:unhideWhenUsed/>
    <w:rsid w:val="005364A7"/>
    <w:pPr>
      <w:spacing w:line="240" w:lineRule="auto"/>
    </w:pPr>
    <w:rPr>
      <w:sz w:val="20"/>
      <w:szCs w:val="20"/>
    </w:rPr>
  </w:style>
  <w:style w:type="character" w:customStyle="1" w:styleId="CommentTextChar">
    <w:name w:val="Comment Text Char"/>
    <w:basedOn w:val="DefaultParagraphFont"/>
    <w:link w:val="CommentText"/>
    <w:uiPriority w:val="99"/>
    <w:semiHidden/>
    <w:rsid w:val="005364A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364A7"/>
    <w:rPr>
      <w:b/>
      <w:bCs/>
    </w:rPr>
  </w:style>
  <w:style w:type="character" w:customStyle="1" w:styleId="CommentSubjectChar">
    <w:name w:val="Comment Subject Char"/>
    <w:basedOn w:val="CommentTextChar"/>
    <w:link w:val="CommentSubject"/>
    <w:uiPriority w:val="99"/>
    <w:semiHidden/>
    <w:rsid w:val="005364A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536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4A7"/>
    <w:rPr>
      <w:rFonts w:ascii="Segoe UI" w:hAnsi="Segoe UI" w:cs="Segoe UI"/>
      <w:sz w:val="18"/>
      <w:szCs w:val="18"/>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048EB"/>
    <w:rPr>
      <w:rFonts w:ascii="Calibri" w:hAnsi="Calibri" w:cs="Times New Roman"/>
      <w:lang w:val="en-GB"/>
    </w:rPr>
  </w:style>
  <w:style w:type="character" w:customStyle="1" w:styleId="Heading3Char">
    <w:name w:val="Heading 3 Char"/>
    <w:basedOn w:val="DefaultParagraphFont"/>
    <w:link w:val="Heading3"/>
    <w:uiPriority w:val="9"/>
    <w:rsid w:val="00EC34EB"/>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182304">
      <w:bodyDiv w:val="1"/>
      <w:marLeft w:val="0"/>
      <w:marRight w:val="0"/>
      <w:marTop w:val="0"/>
      <w:marBottom w:val="0"/>
      <w:divBdr>
        <w:top w:val="none" w:sz="0" w:space="0" w:color="auto"/>
        <w:left w:val="none" w:sz="0" w:space="0" w:color="auto"/>
        <w:bottom w:val="none" w:sz="0" w:space="0" w:color="auto"/>
        <w:right w:val="none" w:sz="0" w:space="0" w:color="auto"/>
      </w:divBdr>
    </w:div>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ED94C79-6F5C-40AB-AE98-57F1FAF29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9738A-86E8-45C3-8DD6-9905E21FC53C}">
  <ds:schemaRefs>
    <ds:schemaRef ds:uri="http://schemas.microsoft.com/sharepoint/v3/contenttype/forms"/>
  </ds:schemaRefs>
</ds:datastoreItem>
</file>

<file path=customXml/itemProps3.xml><?xml version="1.0" encoding="utf-8"?>
<ds:datastoreItem xmlns:ds="http://schemas.openxmlformats.org/officeDocument/2006/customXml" ds:itemID="{8C797D4A-2DE6-4F92-BA61-033B39E92D1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2172</Words>
  <Characters>11600</Characters>
  <Application>Microsoft Office Word</Application>
  <DocSecurity>0</DocSecurity>
  <Lines>193</Lines>
  <Paragraphs>112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cp:lastModifiedBy>
  <cp:revision>2</cp:revision>
  <dcterms:created xsi:type="dcterms:W3CDTF">2020-08-07T04:48:00Z</dcterms:created>
  <dcterms:modified xsi:type="dcterms:W3CDTF">2020-08-07T04:48:00Z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bec31090-747a-4b3a-a3e4-9a1c8be47137</vt:lpwstr>
  </property>
  <property fmtid="{D5CDD505-2E9C-101B-9397-08002B2CF9AE}" pid="3" name="CTP_TimeStamp">
    <vt:lpwstr>2020-08-07 04:22:23Z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